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418"/>
      </w:tblGrid>
      <w:tr w:rsidR="00373D98" w14:paraId="65AD3C31" w14:textId="77777777">
        <w:tc>
          <w:tcPr>
            <w:tcW w:w="5418" w:type="dxa"/>
          </w:tcPr>
          <w:p w14:paraId="4432A33D" w14:textId="2C5EFCBC" w:rsidR="00373D98" w:rsidRPr="00482092" w:rsidRDefault="00612128" w:rsidP="004C40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K6 </w:t>
            </w:r>
            <w:r w:rsidR="003F3E33">
              <w:rPr>
                <w:rFonts w:ascii="Arial" w:hAnsi="Arial" w:cs="Arial"/>
                <w:sz w:val="28"/>
                <w:szCs w:val="28"/>
              </w:rPr>
              <w:t>Tetra</w:t>
            </w:r>
            <w:r w:rsidR="007C4D46">
              <w:rPr>
                <w:rFonts w:ascii="Arial" w:hAnsi="Arial" w:cs="Arial"/>
                <w:sz w:val="28"/>
                <w:szCs w:val="28"/>
              </w:rPr>
              <w:t>-</w:t>
            </w:r>
            <w:r w:rsidR="003F3E33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biquitin</w:t>
            </w:r>
            <w:r w:rsidR="00587CE1">
              <w:rPr>
                <w:rFonts w:ascii="Arial" w:hAnsi="Arial" w:cs="Arial"/>
                <w:sz w:val="28"/>
                <w:szCs w:val="28"/>
              </w:rPr>
              <w:t xml:space="preserve"> (Ub4)</w:t>
            </w:r>
            <w:r w:rsidR="007C4D46">
              <w:rPr>
                <w:rFonts w:ascii="Arial" w:hAnsi="Arial" w:cs="Arial"/>
                <w:sz w:val="28"/>
                <w:szCs w:val="28"/>
              </w:rPr>
              <w:t xml:space="preserve"> S20C Mutant</w:t>
            </w:r>
          </w:p>
        </w:tc>
      </w:tr>
      <w:tr w:rsidR="00373D98" w14:paraId="705BDF60" w14:textId="77777777">
        <w:tc>
          <w:tcPr>
            <w:tcW w:w="5418" w:type="dxa"/>
          </w:tcPr>
          <w:p w14:paraId="41EB0642" w14:textId="0B01F7C4" w:rsidR="00373D98" w:rsidRPr="003F3E33" w:rsidRDefault="00373D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highlight w:val="yellow"/>
              </w:rPr>
            </w:pPr>
            <w:r w:rsidRPr="007C4D46">
              <w:rPr>
                <w:rFonts w:ascii="Arial" w:hAnsi="Arial" w:cs="Arial"/>
              </w:rPr>
              <w:t xml:space="preserve">Cat. # </w:t>
            </w:r>
            <w:r w:rsidR="007C4D46">
              <w:rPr>
                <w:rFonts w:ascii="Arial" w:hAnsi="Arial" w:cs="Arial"/>
              </w:rPr>
              <w:t>SI0624</w:t>
            </w:r>
          </w:p>
        </w:tc>
      </w:tr>
    </w:tbl>
    <w:p w14:paraId="0F955812" w14:textId="522C244A" w:rsidR="00373D98" w:rsidRDefault="00373D98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4"/>
        <w:gridCol w:w="9076"/>
      </w:tblGrid>
      <w:tr w:rsidR="00373D98" w14:paraId="711419CB" w14:textId="77777777" w:rsidTr="00185ED2">
        <w:tc>
          <w:tcPr>
            <w:tcW w:w="1728" w:type="dxa"/>
            <w:tcBorders>
              <w:bottom w:val="dashSmallGap" w:sz="4" w:space="0" w:color="A50021"/>
            </w:tcBorders>
          </w:tcPr>
          <w:p w14:paraId="6F60571E" w14:textId="77777777" w:rsidR="00373D98" w:rsidRPr="000C4474" w:rsidRDefault="00373D98">
            <w:pPr>
              <w:pStyle w:val="Heading2"/>
              <w:pBdr>
                <w:top w:val="none" w:sz="0" w:space="0" w:color="auto"/>
              </w:pBdr>
            </w:pPr>
            <w:r w:rsidRPr="000C4474">
              <w:t>Background:</w:t>
            </w:r>
          </w:p>
        </w:tc>
        <w:tc>
          <w:tcPr>
            <w:tcW w:w="9180" w:type="dxa"/>
            <w:tcBorders>
              <w:bottom w:val="dashSmallGap" w:sz="4" w:space="0" w:color="A50021"/>
            </w:tcBorders>
          </w:tcPr>
          <w:p w14:paraId="1F564949" w14:textId="6441D46F" w:rsidR="000C4474" w:rsidRDefault="000C4474" w:rsidP="006A04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Mitophagy (the autophagic processing of damaged mitochondria) via Parkin activation is mainly promoted by K6 and K63 linked chains.  K6-linked ubiquitination is also a main contributor to the DNA damage response and acts as a DNA-binding enhancer during the innate immune system response.  These chain types are also involved in protein stabilization and other non-degradative processes.</w:t>
            </w:r>
            <w:r w:rsidR="00C90AFF">
              <w:rPr>
                <w:rFonts w:ascii="Arial" w:hAnsi="Arial" w:cs="Arial"/>
                <w:sz w:val="22"/>
                <w:szCs w:val="22"/>
              </w:rPr>
              <w:t xml:space="preserve"> The serine in position 20 has been changed to a cysteine.</w:t>
            </w:r>
          </w:p>
          <w:p w14:paraId="3AB71E29" w14:textId="37F40D30" w:rsidR="006A0464" w:rsidRDefault="000C4474" w:rsidP="006A04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4474">
              <w:rPr>
                <w:rFonts w:ascii="Arial" w:hAnsi="Arial" w:cs="Arial"/>
                <w:sz w:val="22"/>
                <w:szCs w:val="22"/>
              </w:rPr>
              <w:t xml:space="preserve">These </w:t>
            </w:r>
            <w:r w:rsidR="003F3E33">
              <w:rPr>
                <w:rFonts w:ascii="Arial" w:hAnsi="Arial" w:cs="Arial"/>
                <w:sz w:val="22"/>
                <w:szCs w:val="22"/>
              </w:rPr>
              <w:t>tetra</w:t>
            </w:r>
            <w:r w:rsidRPr="000C4474">
              <w:rPr>
                <w:rFonts w:ascii="Arial" w:hAnsi="Arial" w:cs="Arial"/>
                <w:sz w:val="22"/>
                <w:szCs w:val="22"/>
              </w:rPr>
              <w:t>-ubiquitin chains are generated from the enzymatic linkage of wild-type ubiquitin through lysine 6.</w:t>
            </w:r>
          </w:p>
          <w:p w14:paraId="4A671EC4" w14:textId="3BD37833" w:rsidR="003F3E33" w:rsidRPr="003F3E33" w:rsidRDefault="003F3E33" w:rsidP="006A04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D98" w14:paraId="29242FDA" w14:textId="77777777" w:rsidTr="00185ED2">
        <w:tc>
          <w:tcPr>
            <w:tcW w:w="1728" w:type="dxa"/>
            <w:tcBorders>
              <w:top w:val="dashSmallGap" w:sz="4" w:space="0" w:color="A50021"/>
            </w:tcBorders>
          </w:tcPr>
          <w:p w14:paraId="2B2E83B9" w14:textId="77777777" w:rsidR="00373D98" w:rsidRDefault="00373D98">
            <w:pPr>
              <w:pStyle w:val="Heading2"/>
              <w:pBdr>
                <w:top w:val="none" w:sz="0" w:space="0" w:color="auto"/>
              </w:pBdr>
            </w:pPr>
            <w:r>
              <w:t>Application:</w:t>
            </w:r>
          </w:p>
        </w:tc>
        <w:tc>
          <w:tcPr>
            <w:tcW w:w="9180" w:type="dxa"/>
            <w:tcBorders>
              <w:top w:val="dashSmallGap" w:sz="4" w:space="0" w:color="A50021"/>
            </w:tcBorders>
          </w:tcPr>
          <w:p w14:paraId="73FB73AE" w14:textId="77777777" w:rsidR="00C90AFF" w:rsidRPr="003C4ADF" w:rsidRDefault="00C90AFF" w:rsidP="00C90AFF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3C4ADF">
              <w:rPr>
                <w:rFonts w:ascii="Arial" w:hAnsi="Arial" w:cs="Arial"/>
                <w:sz w:val="22"/>
                <w:szCs w:val="22"/>
              </w:rPr>
              <w:t>To investigate enzymes that cleave this specific peptide linkage between two ubiquitin molecules.</w:t>
            </w:r>
          </w:p>
          <w:p w14:paraId="1091CB0E" w14:textId="77777777" w:rsidR="00C90AFF" w:rsidRPr="004F475E" w:rsidRDefault="00C90AFF" w:rsidP="00C90AFF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/>
              <w:ind w:left="432"/>
            </w:pPr>
            <w:r w:rsidRPr="003C4ADF">
              <w:rPr>
                <w:rFonts w:ascii="Arial" w:hAnsi="Arial" w:cs="Arial"/>
                <w:sz w:val="22"/>
                <w:szCs w:val="22"/>
              </w:rPr>
              <w:t>To better understand the mechanisms of ubiquitin-activating (E1) or ubiquitin-conjugating (E2) enzymes, ubiquitin-associated domains (UBA), or ubiquitin-interacting motifs (UIMs) among others.</w:t>
            </w:r>
          </w:p>
          <w:p w14:paraId="7705809E" w14:textId="4427A0D7" w:rsidR="00373D98" w:rsidRPr="00D12DB9" w:rsidRDefault="00C90AFF" w:rsidP="00C90AFF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/>
              <w:ind w:left="432"/>
            </w:pPr>
            <w:r>
              <w:rPr>
                <w:rFonts w:ascii="Arial" w:hAnsi="Arial" w:cs="Arial"/>
                <w:sz w:val="22"/>
                <w:szCs w:val="22"/>
              </w:rPr>
              <w:t xml:space="preserve">To use as a label through biotinylation or fluorescence.  </w:t>
            </w:r>
          </w:p>
        </w:tc>
      </w:tr>
    </w:tbl>
    <w:p w14:paraId="6C4C7ACF" w14:textId="77777777" w:rsidR="00373D98" w:rsidRDefault="00373D9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4"/>
        <w:gridCol w:w="8186"/>
      </w:tblGrid>
      <w:tr w:rsidR="00373D98" w14:paraId="7F9C0CB2" w14:textId="77777777" w:rsidTr="003F3E33">
        <w:tc>
          <w:tcPr>
            <w:tcW w:w="2614" w:type="dxa"/>
          </w:tcPr>
          <w:p w14:paraId="4D105561" w14:textId="77777777" w:rsidR="00373D98" w:rsidRDefault="00373D98">
            <w:pPr>
              <w:pStyle w:val="Heading3"/>
              <w:rPr>
                <w:bCs/>
              </w:rPr>
            </w:pPr>
            <w:r>
              <w:rPr>
                <w:bCs/>
              </w:rPr>
              <w:t xml:space="preserve">Product Information </w:t>
            </w:r>
          </w:p>
        </w:tc>
        <w:tc>
          <w:tcPr>
            <w:tcW w:w="8186" w:type="dxa"/>
          </w:tcPr>
          <w:p w14:paraId="06A83F96" w14:textId="77777777" w:rsidR="00373D98" w:rsidRDefault="00373D98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D98" w14:paraId="7FB43F07" w14:textId="77777777" w:rsidTr="003F3E33">
        <w:tc>
          <w:tcPr>
            <w:tcW w:w="2614" w:type="dxa"/>
          </w:tcPr>
          <w:p w14:paraId="69086706" w14:textId="77777777" w:rsidR="00373D98" w:rsidRDefault="00373D98">
            <w:pPr>
              <w:pStyle w:val="Heading3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Purity:</w:t>
            </w:r>
          </w:p>
        </w:tc>
        <w:tc>
          <w:tcPr>
            <w:tcW w:w="8186" w:type="dxa"/>
          </w:tcPr>
          <w:p w14:paraId="02653523" w14:textId="34ECE7B6" w:rsidR="00373D98" w:rsidRDefault="00373D98" w:rsidP="00016E5D">
            <w:pPr>
              <w:pStyle w:val="Heading1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&gt;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0281B">
              <w:rPr>
                <w:rFonts w:ascii="Arial" w:hAnsi="Arial" w:cs="Arial"/>
                <w:b w:val="0"/>
                <w:sz w:val="20"/>
                <w:szCs w:val="20"/>
              </w:rPr>
              <w:t xml:space="preserve">70%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by </w:t>
            </w:r>
            <w:r w:rsidR="00D12DB9">
              <w:rPr>
                <w:rFonts w:ascii="Arial" w:hAnsi="Arial" w:cs="Arial"/>
                <w:b w:val="0"/>
                <w:sz w:val="20"/>
                <w:szCs w:val="20"/>
              </w:rPr>
              <w:t>SDS-PAGE</w:t>
            </w:r>
            <w:r w:rsidR="00797565">
              <w:rPr>
                <w:rFonts w:ascii="Arial" w:hAnsi="Arial" w:cs="Arial"/>
                <w:b w:val="0"/>
                <w:sz w:val="20"/>
                <w:szCs w:val="20"/>
              </w:rPr>
              <w:t xml:space="preserve"> and Mass Spectrometry</w:t>
            </w:r>
          </w:p>
        </w:tc>
      </w:tr>
      <w:tr w:rsidR="00373D98" w14:paraId="26A25BC4" w14:textId="77777777" w:rsidTr="003F3E33">
        <w:tc>
          <w:tcPr>
            <w:tcW w:w="2614" w:type="dxa"/>
          </w:tcPr>
          <w:p w14:paraId="40E2DC0B" w14:textId="77777777" w:rsidR="00373D98" w:rsidRDefault="00373D98">
            <w:pPr>
              <w:pStyle w:val="Heading3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Molecular Weight:</w:t>
            </w:r>
          </w:p>
        </w:tc>
        <w:tc>
          <w:tcPr>
            <w:tcW w:w="8186" w:type="dxa"/>
          </w:tcPr>
          <w:p w14:paraId="5A205D26" w14:textId="3C18F931" w:rsidR="00373D98" w:rsidRDefault="00D15CBC" w:rsidP="00482092">
            <w:pPr>
              <w:pStyle w:val="Heading1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34267 </w:t>
            </w:r>
            <w:r w:rsidR="00373D98">
              <w:rPr>
                <w:rFonts w:ascii="Arial" w:hAnsi="Arial" w:cs="Arial"/>
                <w:b w:val="0"/>
                <w:sz w:val="20"/>
                <w:szCs w:val="20"/>
              </w:rPr>
              <w:t>Da</w:t>
            </w:r>
          </w:p>
        </w:tc>
      </w:tr>
      <w:tr w:rsidR="00373D98" w14:paraId="22CA8E16" w14:textId="77777777" w:rsidTr="003F3E33">
        <w:tc>
          <w:tcPr>
            <w:tcW w:w="2614" w:type="dxa"/>
          </w:tcPr>
          <w:p w14:paraId="3DA72354" w14:textId="77777777" w:rsidR="00373D98" w:rsidRDefault="00373D98">
            <w:pPr>
              <w:pStyle w:val="Heading3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Physical State:</w:t>
            </w:r>
          </w:p>
        </w:tc>
        <w:tc>
          <w:tcPr>
            <w:tcW w:w="8186" w:type="dxa"/>
          </w:tcPr>
          <w:p w14:paraId="50031F09" w14:textId="77777777" w:rsidR="00373D98" w:rsidRDefault="00040646">
            <w:pPr>
              <w:pStyle w:val="Heading1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liquid</w:t>
            </w:r>
          </w:p>
        </w:tc>
      </w:tr>
      <w:tr w:rsidR="00373D98" w14:paraId="78DFAB07" w14:textId="77777777" w:rsidTr="003F3E33">
        <w:tc>
          <w:tcPr>
            <w:tcW w:w="2614" w:type="dxa"/>
          </w:tcPr>
          <w:p w14:paraId="4FB9B875" w14:textId="77777777" w:rsidR="00373D98" w:rsidRDefault="00373D98">
            <w:pPr>
              <w:pStyle w:val="Heading3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Quantity:</w:t>
            </w:r>
          </w:p>
        </w:tc>
        <w:tc>
          <w:tcPr>
            <w:tcW w:w="8186" w:type="dxa"/>
          </w:tcPr>
          <w:p w14:paraId="22E651DF" w14:textId="25ED6BE8" w:rsidR="00373D98" w:rsidRDefault="007C4D46">
            <w:pPr>
              <w:pStyle w:val="Heading1"/>
              <w:spacing w:before="120"/>
              <w:rPr>
                <w:rFonts w:ascii="Symbol" w:hAnsi="Symbo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25, </w:t>
            </w:r>
            <w:r w:rsidR="009B1AB1">
              <w:rPr>
                <w:rFonts w:ascii="Arial" w:hAnsi="Arial" w:cs="Arial"/>
                <w:b w:val="0"/>
                <w:sz w:val="20"/>
                <w:szCs w:val="20"/>
              </w:rPr>
              <w:t>50 µ</w:t>
            </w:r>
            <w:r w:rsidR="00373D98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</w:p>
        </w:tc>
      </w:tr>
      <w:tr w:rsidR="00373D98" w14:paraId="180E6248" w14:textId="77777777" w:rsidTr="003F3E33">
        <w:tc>
          <w:tcPr>
            <w:tcW w:w="2614" w:type="dxa"/>
          </w:tcPr>
          <w:p w14:paraId="37B135A3" w14:textId="77777777" w:rsidR="00373D98" w:rsidRDefault="00373D98">
            <w:pPr>
              <w:pStyle w:val="Heading3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Solubility:</w:t>
            </w:r>
          </w:p>
        </w:tc>
        <w:tc>
          <w:tcPr>
            <w:tcW w:w="8186" w:type="dxa"/>
          </w:tcPr>
          <w:p w14:paraId="24637F11" w14:textId="19A8701C" w:rsidR="00373D98" w:rsidRDefault="00797565">
            <w:pPr>
              <w:pStyle w:val="Heading1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&gt;30</w:t>
            </w:r>
            <w:r w:rsidR="00040646">
              <w:rPr>
                <w:rFonts w:ascii="Arial" w:hAnsi="Arial" w:cs="Arial"/>
                <w:b w:val="0"/>
                <w:sz w:val="20"/>
                <w:szCs w:val="20"/>
              </w:rPr>
              <w:t xml:space="preserve"> mg/mL</w:t>
            </w:r>
          </w:p>
        </w:tc>
      </w:tr>
      <w:tr w:rsidR="00373D98" w14:paraId="1EAF0FDA" w14:textId="77777777" w:rsidTr="003F3E33">
        <w:tc>
          <w:tcPr>
            <w:tcW w:w="2614" w:type="dxa"/>
          </w:tcPr>
          <w:p w14:paraId="7ADD12FC" w14:textId="77777777" w:rsidR="00373D98" w:rsidRDefault="00373D98">
            <w:pPr>
              <w:pStyle w:val="Heading3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Storage:</w:t>
            </w:r>
          </w:p>
        </w:tc>
        <w:tc>
          <w:tcPr>
            <w:tcW w:w="8186" w:type="dxa"/>
          </w:tcPr>
          <w:p w14:paraId="0E2E3B8C" w14:textId="77777777" w:rsidR="00373D98" w:rsidRDefault="00373D98">
            <w:pPr>
              <w:pStyle w:val="Heading1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-80</w:t>
            </w:r>
            <w: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C.  Avoid repeated freeze/thaw cycles</w:t>
            </w:r>
          </w:p>
        </w:tc>
      </w:tr>
    </w:tbl>
    <w:p w14:paraId="3CFFD531" w14:textId="77777777" w:rsidR="00373D98" w:rsidRDefault="00373D98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3DA29F14" w14:textId="77777777" w:rsidR="00373D98" w:rsidRDefault="00373D98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768133E6" w14:textId="2E970A24" w:rsidR="00482092" w:rsidRDefault="00373D98" w:rsidP="00C90AFF">
      <w:pPr>
        <w:pStyle w:val="Heading3"/>
        <w:rPr>
          <w:b w:val="0"/>
          <w:color w:val="auto"/>
        </w:rPr>
      </w:pPr>
      <w:r>
        <w:t>References</w:t>
      </w:r>
    </w:p>
    <w:p w14:paraId="385C3864" w14:textId="77777777" w:rsidR="004B1104" w:rsidRDefault="004B1104" w:rsidP="004B1104"/>
    <w:p w14:paraId="44EC2E51" w14:textId="77777777" w:rsidR="004B1104" w:rsidRPr="009214C7" w:rsidRDefault="004B1104" w:rsidP="004B1104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Michel, M. A., Swatek, K. N., Hospenthal, M. K., &amp; Komander, D. (2017). Ubiquitin linkage-specific affimers reveal insights into K6-linked ubiquitin signaling.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Molecular cell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233-246.</w:t>
      </w:r>
    </w:p>
    <w:p w14:paraId="33B9B909" w14:textId="77777777" w:rsidR="004B1104" w:rsidRDefault="004B1104" w:rsidP="004B1104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noProof/>
          <w:sz w:val="20"/>
          <w:szCs w:val="20"/>
        </w:rPr>
      </w:pPr>
      <w:r w:rsidRPr="006E3D8E">
        <w:rPr>
          <w:rFonts w:ascii="Arial" w:hAnsi="Arial" w:cs="Arial"/>
          <w:sz w:val="20"/>
          <w:szCs w:val="20"/>
        </w:rPr>
        <w:t xml:space="preserve">Tai, H. C., &amp; Schuman, E. M. (2008). Ubiquitin, the proteasome and protein degradation in neuronal function and dysfunction. </w:t>
      </w:r>
      <w:r w:rsidRPr="006E3D8E">
        <w:rPr>
          <w:rFonts w:ascii="Arial" w:hAnsi="Arial" w:cs="Arial"/>
          <w:i/>
          <w:iCs/>
          <w:sz w:val="20"/>
          <w:szCs w:val="20"/>
        </w:rPr>
        <w:t>Nature Reviews Neuroscience, 9(11)</w:t>
      </w:r>
      <w:r w:rsidRPr="006E3D8E">
        <w:rPr>
          <w:rFonts w:ascii="Arial" w:hAnsi="Arial" w:cs="Arial"/>
          <w:sz w:val="20"/>
          <w:szCs w:val="20"/>
        </w:rPr>
        <w:t>, 826-838.</w:t>
      </w:r>
    </w:p>
    <w:p w14:paraId="76FC5F6A" w14:textId="77777777" w:rsidR="004B1104" w:rsidRPr="006E3D8E" w:rsidRDefault="004B1104" w:rsidP="004B1104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Van Huizen, M., &amp; Kikkert, M. (2020). The role of atypical ubiquitin chains in the regulation of the antiviral innate immune response.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cell and developmental biology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392.</w:t>
      </w:r>
    </w:p>
    <w:p w14:paraId="4AE55AD8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5BDAFBB1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7AF68C5D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5F73CE89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78C73642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0D796FAD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06BDF055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3FB98DFF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4C89546A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4B784C1C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610CB3B3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3F56B896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7CF4352B" w14:textId="77777777" w:rsidR="004B1104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</w:p>
    <w:p w14:paraId="3FA8BB4A" w14:textId="77777777" w:rsidR="004B1104" w:rsidRPr="009214C7" w:rsidRDefault="004B1104" w:rsidP="004B1104">
      <w:pPr>
        <w:pStyle w:val="ListParagraph"/>
        <w:spacing w:before="60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C5F8A3" wp14:editId="71E042A7">
                <wp:simplePos x="0" y="0"/>
                <wp:positionH relativeFrom="column">
                  <wp:posOffset>1015189</wp:posOffset>
                </wp:positionH>
                <wp:positionV relativeFrom="paragraph">
                  <wp:posOffset>7453270</wp:posOffset>
                </wp:positionV>
                <wp:extent cx="5020938" cy="276225"/>
                <wp:effectExtent l="0" t="0" r="889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938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382E7" w14:textId="7331A297" w:rsidR="004B1104" w:rsidRPr="002A7100" w:rsidRDefault="004B1104" w:rsidP="004B11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710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2A710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A71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Image shows 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mass spectrometry readout, showing a mass of 34267 Da</w:t>
                            </w:r>
                            <w:r w:rsidRPr="002A71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5F8A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79.95pt;margin-top:586.85pt;width:395.3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1mRgIAAIMEAAAOAAAAZHJzL2Uyb0RvYy54bWysVMFu2zAMvQ/YPwi6r3acJl2DOkXWIsOA&#10;oi3QDj0rspwYkEVNUmJnX78nOUm7bqdhF4Ui6SfyPTJX132r2U4535Ap+egs50wZSVVj1iX//rz8&#10;9JkzH4SphCajSr5Xnl/PP3646uxMFbQhXSnHAGL8rLMl34RgZ1nm5Ua1wp+RVQbBmlwrAq5unVVO&#10;dEBvdVbk+TTryFXWkVTew3s7BPk84de1kuGhrr0KTJcctYV0unSu4pnNr8Rs7YTdNPJQhviHKlrR&#10;GDx6groVQbCta/6AahvpyFMdziS1GdV1I1XqAd2M8nfdPG2EVakXkOPtiSb//2Dl/e7RsaYq+fSC&#10;MyNaaPSs+sC+UM/gAj+d9TOkPVkkhh5+6Hz0ezhj233t2viLhhjiYHp/YjeiSTgneZFfjjEPErHi&#10;YloUkwiTvX5tnQ9fFbUsGiV3UC+RKnZ3Pgypx5T4mCfdVMtG63SJE6NutGM7Aa11SDUC/LcsbViH&#10;VseTPAEbip8PyNqgltjr0FO0Qr/qEzfjVGl0rajagwdHwyR5K5cNir0TPjwKh9FB61iH8ICj1oTH&#10;6GBxtiH382/+mA9FEeWswyiW3P/YCqc4098MtL4cnZ/H2U2X88lFgYt7G1m9jZhte0NgYITFszKZ&#10;MT/oo1k7al+wNYv4KkLCSLxd8nA0b8KwINg6qRaLlIRptSLcmScrI3RkPErx3L8IZw96BSh9T8eh&#10;FbN3sg258UtDi22gukmavrJ64B+TnqbisJVxld7eU9brf8f8FwAAAP//AwBQSwMEFAAGAAgAAAAh&#10;ADDuldLkAAAADQEAAA8AAABkcnMvZG93bnJldi54bWxMj0tPwzAQhO9I/Q/WInFB1HkoDQlxKoR4&#10;SNza8BA3N16SqLEdxW4S/j3Lid52dkez3xTbRfdswtF11ggI1wEwNLVVnWkEvFVPN7fAnJdGyd4a&#10;FPCDDrbl6qKQubKz2eG09w2jEONyKaD1fsg5d3WLWrq1HdDQ7duOWnqSY8PVKGcK1z2PgmDDtewM&#10;fWjlgA8t1sf9SQv4um4+X93y/D7HSTw8vkxV+qEqIa4ul/s7YB4X/2+GP3xCh5KYDvZklGM96STL&#10;yEpDmMYpMLJkSbABdqBVFKYR8LLg5y3KXwAAAP//AwBQSwECLQAUAAYACAAAACEAtoM4kv4AAADh&#10;AQAAEwAAAAAAAAAAAAAAAAAAAAAAW0NvbnRlbnRfVHlwZXNdLnhtbFBLAQItABQABgAIAAAAIQA4&#10;/SH/1gAAAJQBAAALAAAAAAAAAAAAAAAAAC8BAABfcmVscy8ucmVsc1BLAQItABQABgAIAAAAIQCk&#10;YE1mRgIAAIMEAAAOAAAAAAAAAAAAAAAAAC4CAABkcnMvZTJvRG9jLnhtbFBLAQItABQABgAIAAAA&#10;IQAw7pXS5AAAAA0BAAAPAAAAAAAAAAAAAAAAAKAEAABkcnMvZG93bnJldi54bWxQSwUGAAAAAAQA&#10;BADzAAAAsQUAAAAA&#10;" fillcolor="white [3201]" stroked="f" strokeweight=".5pt">
                <v:textbox>
                  <w:txbxContent>
                    <w:p w14:paraId="20B382E7" w14:textId="7331A297" w:rsidR="004B1104" w:rsidRPr="002A7100" w:rsidRDefault="004B1104" w:rsidP="004B110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710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2A710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2A7100">
                        <w:rPr>
                          <w:rFonts w:ascii="Arial" w:hAnsi="Arial" w:cs="Arial"/>
                          <w:sz w:val="20"/>
                          <w:szCs w:val="20"/>
                        </w:rPr>
                        <w:t>Image shows 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mass spectrometry readout, showing a mass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34267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</w:t>
                      </w:r>
                      <w:r w:rsidRPr="002A710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69FEC6" wp14:editId="545FC061">
                <wp:simplePos x="0" y="0"/>
                <wp:positionH relativeFrom="column">
                  <wp:posOffset>88135</wp:posOffset>
                </wp:positionH>
                <wp:positionV relativeFrom="paragraph">
                  <wp:posOffset>4762783</wp:posOffset>
                </wp:positionV>
                <wp:extent cx="6667500" cy="638175"/>
                <wp:effectExtent l="0" t="0" r="0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1AD90" w14:textId="77777777" w:rsidR="004B1104" w:rsidRPr="002A7100" w:rsidRDefault="004B1104" w:rsidP="004B110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710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Figure 1. </w:t>
                            </w:r>
                            <w:r w:rsidRPr="002A71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Image on the left shows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71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µg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 w:rsidRPr="002A71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sample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(labeled on top) </w:t>
                            </w:r>
                            <w:r w:rsidRPr="002A71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run through SDS-PAGE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2A71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Coomassie Stain. Image on the right shows 100 ng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each</w:t>
                            </w:r>
                            <w:r w:rsidRPr="002A71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sample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(with the exception of S20C tetra-ubiquitin) </w:t>
                            </w:r>
                            <w:r w:rsidRPr="002A71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run through SDS-PAGE and then transferred to a nitrocellulose membrane for a Western Blot with an anti-ubiquitin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VU-1 </w:t>
                            </w:r>
                            <w:r w:rsidRPr="002A71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antibody.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FEC6" id="Text Box 65" o:spid="_x0000_s1027" type="#_x0000_t202" style="position:absolute;left:0;text-align:left;margin-left:6.95pt;margin-top:375pt;width:525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1YRQIAAIMEAAAOAAAAZHJzL2Uyb0RvYy54bWysVE1vGjEQvVfqf7B8LwsJHynKEtFEVJVQ&#10;EgmqnI3XG1byelzbsEt/fZ+9QGjaU9WLdzwzno/3Zvb2rq012yvnKzI5H/T6nCkjqajMa86/rxef&#10;bjjzQZhCaDIq5wfl+d3s44fbxk7VFW1JF8oxBDF+2ticb0Ow0yzzcqtq4XtklYGxJFeLgKt7zQon&#10;GkSvdXbV74+zhlxhHUnlPbQPnZHPUvyyVDI8laVXgemco7aQTpfOTTyz2a2Yvjpht5U8liH+oYpa&#10;VAZJz6EeRBBs56o/QtWVdOSpDD1JdUZlWUmVekA3g/67blZbYVXqBeB4e4bJ/7+w8nH/7FhV5Hw8&#10;4syIGhytVRvYF2oZVMCnsX4Kt5WFY2ihB88nvYcytt2Wro5fNMRgB9KHM7oxmoRyPB5PRn2YJGzj&#10;65vBJIXP3l5b58NXRTWLQs4d2Eugiv3SB1QC15NLTOZJV8Wi0jpd4sSoe+3YXoBrHVKNePGblzas&#10;iclH/RTYUHzeRdYGCWKvXU9RCu2mTdhcD08Nb6g4AAdH3SR5KxcVil0KH56Fw+igP6xDeMJRakIy&#10;Okqcbcn9/Js++oNRWDlrMIo59z92winO9DcDrj8PhsM4u+kyHE2ucHGXls2lxezqewICAyyelUmM&#10;/kGfxNJR/YKtmcesMAkjkTvn4STeh25BsHVSzefJCdNqRVialZUxdEQ8UrFuX4SzR74CmH6k09CK&#10;6TvaOt/40tB8F6isEqcR6A7VI/6Y9ET1cSvjKl3ek9fbv2P2CwAA//8DAFBLAwQUAAYACAAAACEA&#10;d3Jw3uAAAAALAQAADwAAAGRycy9kb3ducmV2LnhtbEyPS0/DMBCE70j8B2uRuCBqQ5S2hDgVQjyk&#10;3mh4iJsbL0lEvI5iNwn/nu0JjjP7aXYm38yuEyMOofWk4WqhQCBV3rZUa3gtHy/XIEI0ZE3nCTX8&#10;YIBNcXqSm8z6iV5w3MVacAiFzGhoYuwzKUPVoDNh4Xskvn35wZnIcqilHczE4a6T10otpTMt8YfG&#10;9HjfYPW9OzgNnxf1xzbMT29Tkib9w/NYrt5tqfX52Xx3CyLiHP9gONbn6lBwp70/kA2iY53cMKlh&#10;lSredATU8mjtNaxTlYIscvl/Q/ELAAD//wMAUEsBAi0AFAAGAAgAAAAhALaDOJL+AAAA4QEAABMA&#10;AAAAAAAAAAAAAAAAAAAAAFtDb250ZW50X1R5cGVzXS54bWxQSwECLQAUAAYACAAAACEAOP0h/9YA&#10;AACUAQAACwAAAAAAAAAAAAAAAAAvAQAAX3JlbHMvLnJlbHNQSwECLQAUAAYACAAAACEAi9aNWEUC&#10;AACDBAAADgAAAAAAAAAAAAAAAAAuAgAAZHJzL2Uyb0RvYy54bWxQSwECLQAUAAYACAAAACEAd3Jw&#10;3uAAAAALAQAADwAAAAAAAAAAAAAAAACfBAAAZHJzL2Rvd25yZXYueG1sUEsFBgAAAAAEAAQA8wAA&#10;AKwFAAAAAA==&#10;" fillcolor="white [3201]" stroked="f" strokeweight=".5pt">
                <v:textbox>
                  <w:txbxContent>
                    <w:p w14:paraId="21B1AD90" w14:textId="77777777" w:rsidR="004B1104" w:rsidRPr="002A7100" w:rsidRDefault="004B1104" w:rsidP="004B110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710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Figure 1. </w:t>
                      </w:r>
                      <w:r w:rsidRPr="002A7100">
                        <w:rPr>
                          <w:rFonts w:ascii="Arial" w:hAnsi="Arial" w:cs="Arial"/>
                          <w:sz w:val="20"/>
                          <w:szCs w:val="20"/>
                        </w:rPr>
                        <w:t>Image on the left shows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A71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µg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</w:t>
                      </w:r>
                      <w:r w:rsidRPr="002A71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sample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(labeled on top) </w:t>
                      </w:r>
                      <w:r w:rsidRPr="002A7100">
                        <w:rPr>
                          <w:rFonts w:ascii="Arial" w:hAnsi="Arial" w:cs="Arial"/>
                          <w:sz w:val="20"/>
                          <w:szCs w:val="20"/>
                        </w:rPr>
                        <w:t>run through SDS-PAGE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2A7100">
                        <w:rPr>
                          <w:rFonts w:ascii="Arial" w:hAnsi="Arial" w:cs="Arial"/>
                          <w:sz w:val="20"/>
                          <w:szCs w:val="20"/>
                        </w:rPr>
                        <w:t>with a Coomassie Stain. Image on the right shows 100 ng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each</w:t>
                      </w:r>
                      <w:r w:rsidRPr="002A71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sample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(with the exception of S20C tetra-ubiquitin) </w:t>
                      </w:r>
                      <w:r w:rsidRPr="002A71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run through SDS-PAGE and then transferred to a nitrocellulose membrane for a Western Blot with an anti-ubiquitin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VU-1 </w:t>
                      </w:r>
                      <w:r w:rsidRPr="002A71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antibody. </w:t>
                      </w:r>
                    </w:p>
                  </w:txbxContent>
                </v:textbox>
              </v:shape>
            </w:pict>
          </mc:Fallback>
        </mc:AlternateContent>
      </w:r>
      <w:r w:rsidRPr="009214C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2752" behindDoc="0" locked="0" layoutInCell="1" allowOverlap="1" wp14:anchorId="786429E5" wp14:editId="35A81C2B">
            <wp:simplePos x="0" y="0"/>
            <wp:positionH relativeFrom="column">
              <wp:posOffset>3664585</wp:posOffset>
            </wp:positionH>
            <wp:positionV relativeFrom="paragraph">
              <wp:posOffset>50165</wp:posOffset>
            </wp:positionV>
            <wp:extent cx="2343150" cy="4686300"/>
            <wp:effectExtent l="0" t="0" r="0" b="0"/>
            <wp:wrapThrough wrapText="bothSides">
              <wp:wrapPolygon edited="0">
                <wp:start x="15629" y="0"/>
                <wp:lineTo x="15102" y="1580"/>
                <wp:lineTo x="12293" y="2634"/>
                <wp:lineTo x="12468" y="2985"/>
                <wp:lineTo x="8254" y="3073"/>
                <wp:lineTo x="7376" y="4127"/>
                <wp:lineTo x="7200" y="5180"/>
                <wp:lineTo x="6146" y="7200"/>
                <wp:lineTo x="3161" y="7639"/>
                <wp:lineTo x="2810" y="7815"/>
                <wp:lineTo x="2810" y="8605"/>
                <wp:lineTo x="878" y="8693"/>
                <wp:lineTo x="351" y="8956"/>
                <wp:lineTo x="527" y="10273"/>
                <wp:lineTo x="2283" y="11415"/>
                <wp:lineTo x="1054" y="11854"/>
                <wp:lineTo x="702" y="12117"/>
                <wp:lineTo x="878" y="15278"/>
                <wp:lineTo x="1229" y="15629"/>
                <wp:lineTo x="2810" y="15629"/>
                <wp:lineTo x="2810" y="17034"/>
                <wp:lineTo x="1054" y="17298"/>
                <wp:lineTo x="1054" y="17649"/>
                <wp:lineTo x="2810" y="18439"/>
                <wp:lineTo x="1054" y="18966"/>
                <wp:lineTo x="1054" y="19317"/>
                <wp:lineTo x="2810" y="19844"/>
                <wp:lineTo x="2810" y="20107"/>
                <wp:lineTo x="7551" y="21161"/>
                <wp:lineTo x="8605" y="21337"/>
                <wp:lineTo x="12820" y="21337"/>
                <wp:lineTo x="18439" y="20020"/>
                <wp:lineTo x="18263" y="5795"/>
                <wp:lineTo x="19141" y="4390"/>
                <wp:lineTo x="19493" y="2985"/>
                <wp:lineTo x="20195" y="2459"/>
                <wp:lineTo x="19493" y="2107"/>
                <wp:lineTo x="16683" y="1405"/>
                <wp:lineTo x="17034" y="351"/>
                <wp:lineTo x="16859" y="0"/>
                <wp:lineTo x="15629" y="0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6"/>
                    <a:stretch/>
                  </pic:blipFill>
                  <pic:spPr bwMode="auto">
                    <a:xfrm>
                      <a:off x="0" y="0"/>
                      <a:ext cx="23431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4C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0D4D7FB5" wp14:editId="7128ED4F">
            <wp:simplePos x="0" y="0"/>
            <wp:positionH relativeFrom="column">
              <wp:posOffset>845254</wp:posOffset>
            </wp:positionH>
            <wp:positionV relativeFrom="paragraph">
              <wp:posOffset>50800</wp:posOffset>
            </wp:positionV>
            <wp:extent cx="2566000" cy="4583115"/>
            <wp:effectExtent l="0" t="0" r="0" b="0"/>
            <wp:wrapThrough wrapText="bothSides">
              <wp:wrapPolygon edited="0">
                <wp:start x="15879" y="269"/>
                <wp:lineTo x="15398" y="1886"/>
                <wp:lineTo x="12671" y="3143"/>
                <wp:lineTo x="8822" y="3681"/>
                <wp:lineTo x="7859" y="3951"/>
                <wp:lineTo x="7539" y="6195"/>
                <wp:lineTo x="6897" y="7632"/>
                <wp:lineTo x="481" y="9069"/>
                <wp:lineTo x="321" y="11044"/>
                <wp:lineTo x="802" y="13019"/>
                <wp:lineTo x="1283" y="13378"/>
                <wp:lineTo x="2887" y="13378"/>
                <wp:lineTo x="802" y="14815"/>
                <wp:lineTo x="642" y="16252"/>
                <wp:lineTo x="2727" y="17688"/>
                <wp:lineTo x="962" y="18496"/>
                <wp:lineTo x="962" y="18855"/>
                <wp:lineTo x="2887" y="19125"/>
                <wp:lineTo x="962" y="20113"/>
                <wp:lineTo x="1283" y="20561"/>
                <wp:lineTo x="6255" y="20651"/>
                <wp:lineTo x="6416" y="21280"/>
                <wp:lineTo x="14917" y="21280"/>
                <wp:lineTo x="15077" y="20741"/>
                <wp:lineTo x="18285" y="20561"/>
                <wp:lineTo x="19087" y="20382"/>
                <wp:lineTo x="18766" y="9069"/>
                <wp:lineTo x="18125" y="7632"/>
                <wp:lineTo x="18606" y="6195"/>
                <wp:lineTo x="19248" y="4759"/>
                <wp:lineTo x="19568" y="3322"/>
                <wp:lineTo x="20210" y="2783"/>
                <wp:lineTo x="19568" y="2424"/>
                <wp:lineTo x="16842" y="1706"/>
                <wp:lineTo x="17162" y="629"/>
                <wp:lineTo x="17002" y="269"/>
                <wp:lineTo x="15879" y="269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5"/>
                    <a:stretch/>
                  </pic:blipFill>
                  <pic:spPr bwMode="auto">
                    <a:xfrm>
                      <a:off x="0" y="0"/>
                      <a:ext cx="2566000" cy="45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5EBB6" w14:textId="77777777" w:rsidR="004B1104" w:rsidRPr="00482092" w:rsidRDefault="004B1104" w:rsidP="004B1104">
      <w:pPr>
        <w:spacing w:before="60"/>
      </w:pPr>
    </w:p>
    <w:p w14:paraId="14D07931" w14:textId="5499430E" w:rsidR="004B1104" w:rsidRPr="00482092" w:rsidRDefault="004B1104" w:rsidP="004B1104">
      <w:pPr>
        <w:spacing w:before="60"/>
      </w:pPr>
    </w:p>
    <w:p w14:paraId="736CC438" w14:textId="286EBBD7" w:rsidR="00C90AFF" w:rsidRPr="00C90AFF" w:rsidRDefault="004B1104" w:rsidP="00C90AFF">
      <w:r>
        <w:rPr>
          <w:noProof/>
        </w:rPr>
        <w:drawing>
          <wp:anchor distT="0" distB="0" distL="114300" distR="114300" simplePos="0" relativeHeight="251725824" behindDoc="0" locked="0" layoutInCell="1" allowOverlap="1" wp14:anchorId="2B3D38CE" wp14:editId="627E0536">
            <wp:simplePos x="0" y="0"/>
            <wp:positionH relativeFrom="column">
              <wp:posOffset>1911403</wp:posOffset>
            </wp:positionH>
            <wp:positionV relativeFrom="paragraph">
              <wp:posOffset>4769538</wp:posOffset>
            </wp:positionV>
            <wp:extent cx="3227942" cy="2113543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42" cy="2113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0AFF" w:rsidRPr="00C90AFF" w:rsidSect="00185E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990" w:right="720" w:bottom="180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DA83" w14:textId="77777777" w:rsidR="00016E5D" w:rsidRDefault="00016E5D">
      <w:r>
        <w:separator/>
      </w:r>
    </w:p>
  </w:endnote>
  <w:endnote w:type="continuationSeparator" w:id="0">
    <w:p w14:paraId="50CC9FE8" w14:textId="77777777" w:rsidR="00016E5D" w:rsidRDefault="0001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TStd-Roman">
    <w:altName w:val="Times New Roman"/>
    <w:panose1 w:val="00000000000000000000"/>
    <w:charset w:val="00"/>
    <w:family w:val="auto"/>
    <w:notTrueType/>
    <w:pitch w:val="default"/>
    <w:sig w:usb0="00000000" w:usb1="000A000A" w:usb2="00000000" w:usb3="00000000" w:csb0="0000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0F5A" w14:textId="77777777" w:rsidR="00E81E12" w:rsidRDefault="00E81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E2FA" w14:textId="6A814E00" w:rsidR="00016E5D" w:rsidRDefault="006A0464">
    <w:pPr>
      <w:pStyle w:val="Header"/>
      <w:tabs>
        <w:tab w:val="clear" w:pos="4320"/>
        <w:tab w:val="clear" w:pos="864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40EB47" wp14:editId="6A0204DC">
              <wp:simplePos x="0" y="0"/>
              <wp:positionH relativeFrom="column">
                <wp:posOffset>-457200</wp:posOffset>
              </wp:positionH>
              <wp:positionV relativeFrom="paragraph">
                <wp:posOffset>-510540</wp:posOffset>
              </wp:positionV>
              <wp:extent cx="7772400" cy="1152525"/>
              <wp:effectExtent l="0" t="381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B2D3" w14:textId="77777777" w:rsidR="00016E5D" w:rsidRPr="006D4AFE" w:rsidRDefault="00016E5D">
                          <w:pPr>
                            <w:pStyle w:val="Header"/>
                            <w:tabs>
                              <w:tab w:val="clear" w:pos="4320"/>
                              <w:tab w:val="center" w:pos="5760"/>
                            </w:tabs>
                            <w:ind w:left="-1440" w:right="-14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4A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All products are for research use only  </w:t>
                          </w:r>
                          <w:r w:rsidRPr="006D4A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00B7"/>
                          </w:r>
                          <w:r w:rsidRPr="006D4A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not intended for human or animal diagnostic or therapeutic uses</w:t>
                          </w:r>
                        </w:p>
                        <w:p w14:paraId="6E6F0CAF" w14:textId="66DE91BA" w:rsidR="00016E5D" w:rsidRPr="006D4AFE" w:rsidRDefault="00016E5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D4A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Copyright © </w:t>
                          </w:r>
                          <w:r w:rsidR="00E81E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2021</w:t>
                          </w:r>
                          <w:r w:rsidRPr="006D4A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LifeSensors, Inc.  All Rights Reserved</w:t>
                          </w:r>
                        </w:p>
                        <w:p w14:paraId="35469315" w14:textId="77777777" w:rsidR="00016E5D" w:rsidRDefault="00016E5D">
                          <w:pPr>
                            <w:rPr>
                              <w:szCs w:val="16"/>
                            </w:rPr>
                          </w:pPr>
                          <w:bookmarkStart w:id="0" w:name="OLE_LINK1"/>
                          <w:r>
                            <w:rPr>
                              <w:noProof/>
                              <w:szCs w:val="16"/>
                              <w:lang w:eastAsia="zh-TW"/>
                            </w:rPr>
                            <w:drawing>
                              <wp:inline distT="0" distB="0" distL="0" distR="0" wp14:anchorId="4421C33A" wp14:editId="5E4B6DD2">
                                <wp:extent cx="7772400" cy="914400"/>
                                <wp:effectExtent l="19050" t="0" r="0" b="0"/>
                                <wp:docPr id="1" name="Picture 1" descr="Lifesensors 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fesensors 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0EB4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3" type="#_x0000_t202" style="position:absolute;margin-left:-36pt;margin-top:-40.2pt;width:612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Bk6QEAALgDAAAOAAAAZHJzL2Uyb0RvYy54bWysU22P0zAM/o7Ef4jynXWdDoaqdafjToeQ&#10;jhfpjh/gpmkb0cbBydaOX4+TruOAbwhVihzHfvz4sbu7noZeHDV5g7aU+WothbYKa2PbUn59un/1&#10;VgofwNbQo9WlPGkvr/cvX+xGV+gNdtjXmgSDWF+MrpRdCK7IMq86PYBfodOWHxukAQJfqc1qgpHR&#10;hz7brNdvshGpdoRKe8/eu/lR7hN+02gVPjeN10H0pWRuIZ2Uziqe2X4HRUvgOqPONOAfWAxgLBe9&#10;QN1BAHEg8xfUYBShxyasFA4ZNo1ROvXA3eTrP7p57MDp1AuL491FJv//YNWn4xcSpi7lRgoLA4/o&#10;SU9BvMNJ5FdRntH5gqMeHceFif085tSqdw+ovnlh8bYD2+obIhw7DTXTy2Nm9ix1xvERpBo/Ys11&#10;4BAwAU0NDVE7VkMwOo/pdBlN5KLYud1uN1drflL8luevN/ylGlAs6Y58eK9xENEoJfHsEzwcH3yI&#10;dKBYQmI1i/em79P8e/ubgwOjJ9GPjGfuYaqmsxwV1iduhHBeJ15/NjqkH1KMvEql9N8PQFqK/oNl&#10;MeLeLQYtRrUYYBWnljJIMZu3Yd7PgyPTdow8y23xhgVrTGolKjuzOPPk9Ugdnlc57t/ze4r69cPt&#10;fwIAAP//AwBQSwMEFAAGAAgAAAAhANgxs4zfAAAADAEAAA8AAABkcnMvZG93bnJldi54bWxMj0FP&#10;wzAMhe9I/IfISNy2pBOMUZpOE4ITEqIrB45p47XVGqc02Vb+Pe4Jbs/20/P3su3kenHGMXSeNCRL&#10;BQKp9rajRsNn+brYgAjRkDW9J9TwgwG2+fVVZlLrL1TgeR8bwSEUUqOhjXFIpQx1i86EpR+Q+Hbw&#10;ozORx7GRdjQXDne9XCm1ls50xB9aM+Bzi/Vxf3Iadl9UvHTf79VHcSi6snxU9LY+an17M+2eQESc&#10;4p8ZZnxGh5yZKn8iG0SvYfGw4i6RxUbdgZgdyf28qlipJAGZZ/J/ifwXAAD//wMAUEsBAi0AFAAG&#10;AAgAAAAhALaDOJL+AAAA4QEAABMAAAAAAAAAAAAAAAAAAAAAAFtDb250ZW50X1R5cGVzXS54bWxQ&#10;SwECLQAUAAYACAAAACEAOP0h/9YAAACUAQAACwAAAAAAAAAAAAAAAAAvAQAAX3JlbHMvLnJlbHNQ&#10;SwECLQAUAAYACAAAACEADYzQZOkBAAC4AwAADgAAAAAAAAAAAAAAAAAuAgAAZHJzL2Uyb0RvYy54&#10;bWxQSwECLQAUAAYACAAAACEA2DGzjN8AAAAMAQAADwAAAAAAAAAAAAAAAABDBAAAZHJzL2Rvd25y&#10;ZXYueG1sUEsFBgAAAAAEAAQA8wAAAE8FAAAAAA==&#10;" filled="f" stroked="f">
              <v:textbox inset="0,0,0,0">
                <w:txbxContent>
                  <w:p w14:paraId="258EB2D3" w14:textId="77777777" w:rsidR="00016E5D" w:rsidRPr="006D4AFE" w:rsidRDefault="00016E5D">
                    <w:pPr>
                      <w:pStyle w:val="Header"/>
                      <w:tabs>
                        <w:tab w:val="clear" w:pos="4320"/>
                        <w:tab w:val="center" w:pos="5760"/>
                      </w:tabs>
                      <w:ind w:left="-1440" w:right="-144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4AF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All products are for research use only  </w:t>
                    </w:r>
                    <w:r w:rsidRPr="006D4AFE">
                      <w:rPr>
                        <w:rFonts w:ascii="Arial" w:hAnsi="Arial" w:cs="Arial"/>
                        <w:sz w:val="16"/>
                        <w:szCs w:val="16"/>
                      </w:rPr>
                      <w:sym w:font="Symbol" w:char="00B7"/>
                    </w:r>
                    <w:r w:rsidRPr="006D4AF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not intended for human or animal diagnostic or therapeutic uses</w:t>
                    </w:r>
                  </w:p>
                  <w:p w14:paraId="6E6F0CAF" w14:textId="66DE91BA" w:rsidR="00016E5D" w:rsidRPr="006D4AFE" w:rsidRDefault="00016E5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D4AF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Copyright © </w:t>
                    </w:r>
                    <w:r w:rsidR="00E81E12">
                      <w:rPr>
                        <w:rFonts w:ascii="Arial" w:hAnsi="Arial" w:cs="Arial"/>
                        <w:sz w:val="16"/>
                        <w:szCs w:val="16"/>
                      </w:rPr>
                      <w:t>2021</w:t>
                    </w:r>
                    <w:r w:rsidRPr="006D4AF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LifeSensors, Inc.  All Rights Reserved</w:t>
                    </w:r>
                  </w:p>
                  <w:p w14:paraId="35469315" w14:textId="77777777" w:rsidR="00016E5D" w:rsidRDefault="00016E5D">
                    <w:pPr>
                      <w:rPr>
                        <w:szCs w:val="16"/>
                      </w:rPr>
                    </w:pPr>
                    <w:bookmarkStart w:id="6" w:name="OLE_LINK1"/>
                    <w:r>
                      <w:rPr>
                        <w:noProof/>
                        <w:szCs w:val="16"/>
                        <w:lang w:eastAsia="zh-TW"/>
                      </w:rPr>
                      <w:drawing>
                        <wp:inline distT="0" distB="0" distL="0" distR="0" wp14:anchorId="4421C33A" wp14:editId="5E4B6DD2">
                          <wp:extent cx="7772400" cy="914400"/>
                          <wp:effectExtent l="19050" t="0" r="0" b="0"/>
                          <wp:docPr id="1" name="Picture 1" descr="Lifesensors 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ifesensors 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2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6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CE2B" w14:textId="77777777" w:rsidR="00E81E12" w:rsidRDefault="00E8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F218" w14:textId="77777777" w:rsidR="00016E5D" w:rsidRDefault="00016E5D">
      <w:r>
        <w:separator/>
      </w:r>
    </w:p>
  </w:footnote>
  <w:footnote w:type="continuationSeparator" w:id="0">
    <w:p w14:paraId="5A29A56A" w14:textId="77777777" w:rsidR="00016E5D" w:rsidRDefault="0001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4FA1" w14:textId="77777777" w:rsidR="00E81E12" w:rsidRDefault="00E81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D94B" w14:textId="77777777" w:rsidR="00016E5D" w:rsidRDefault="00016E5D">
    <w:pPr>
      <w:pStyle w:val="Header"/>
      <w:ind w:right="90"/>
      <w:jc w:val="both"/>
    </w:pPr>
    <w:r>
      <w:rPr>
        <w:noProof/>
        <w:sz w:val="20"/>
        <w:lang w:eastAsia="zh-TW"/>
      </w:rPr>
      <w:drawing>
        <wp:anchor distT="0" distB="0" distL="114300" distR="114300" simplePos="0" relativeHeight="251658240" behindDoc="1" locked="0" layoutInCell="1" allowOverlap="1" wp14:anchorId="2E9A5418" wp14:editId="7198DC1B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3200400" cy="228600"/>
          <wp:effectExtent l="19050" t="0" r="0" b="0"/>
          <wp:wrapTopAndBottom/>
          <wp:docPr id="18" name="Picture 18" descr="LSlogo-Hspo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Slogo-Hspot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65DB" w14:textId="77777777" w:rsidR="00E81E12" w:rsidRDefault="00E81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331"/>
    <w:multiLevelType w:val="hybridMultilevel"/>
    <w:tmpl w:val="340ADF0A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89621F6"/>
    <w:multiLevelType w:val="hybridMultilevel"/>
    <w:tmpl w:val="3550A2D0"/>
    <w:lvl w:ilvl="0" w:tplc="04090011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9"/>
        </w:tabs>
        <w:ind w:left="27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9"/>
        </w:tabs>
        <w:ind w:left="34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9"/>
        </w:tabs>
        <w:ind w:left="49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9"/>
        </w:tabs>
        <w:ind w:left="56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9"/>
        </w:tabs>
        <w:ind w:left="70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9"/>
        </w:tabs>
        <w:ind w:left="7789" w:hanging="180"/>
      </w:pPr>
    </w:lvl>
  </w:abstractNum>
  <w:abstractNum w:abstractNumId="2" w15:restartNumberingAfterBreak="0">
    <w:nsid w:val="12CF52D4"/>
    <w:multiLevelType w:val="hybridMultilevel"/>
    <w:tmpl w:val="BFACE06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6A7E26"/>
    <w:multiLevelType w:val="hybridMultilevel"/>
    <w:tmpl w:val="C3729B80"/>
    <w:lvl w:ilvl="0" w:tplc="1A8A7B04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6196BE5"/>
    <w:multiLevelType w:val="hybridMultilevel"/>
    <w:tmpl w:val="2830FF40"/>
    <w:lvl w:ilvl="0" w:tplc="C382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LTStd-Roman" w:hAnsi="PalatinoLTStd-Roman" w:cs="PalatinoLTStd-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E1567"/>
    <w:multiLevelType w:val="hybridMultilevel"/>
    <w:tmpl w:val="98DA5F56"/>
    <w:lvl w:ilvl="0" w:tplc="98CC6FC0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E9C6E52"/>
    <w:multiLevelType w:val="hybridMultilevel"/>
    <w:tmpl w:val="AB28B4E2"/>
    <w:lvl w:ilvl="0" w:tplc="BD88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9531D3"/>
    <w:multiLevelType w:val="hybridMultilevel"/>
    <w:tmpl w:val="6524A54C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F670A"/>
    <w:multiLevelType w:val="hybridMultilevel"/>
    <w:tmpl w:val="639A772C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F1C8B"/>
    <w:multiLevelType w:val="hybridMultilevel"/>
    <w:tmpl w:val="0DCEFFB0"/>
    <w:lvl w:ilvl="0" w:tplc="8ADCA0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3AC0C6B"/>
    <w:multiLevelType w:val="multilevel"/>
    <w:tmpl w:val="0F1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C55F7"/>
    <w:multiLevelType w:val="multilevel"/>
    <w:tmpl w:val="A3BAA6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4687E"/>
    <w:multiLevelType w:val="hybridMultilevel"/>
    <w:tmpl w:val="DA604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23037A"/>
    <w:multiLevelType w:val="hybridMultilevel"/>
    <w:tmpl w:val="1D406FA4"/>
    <w:lvl w:ilvl="0" w:tplc="497C7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0D54DE"/>
    <w:multiLevelType w:val="hybridMultilevel"/>
    <w:tmpl w:val="421C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67194"/>
    <w:multiLevelType w:val="hybridMultilevel"/>
    <w:tmpl w:val="ADF4F88A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2793300"/>
    <w:multiLevelType w:val="hybridMultilevel"/>
    <w:tmpl w:val="A3BAA6FE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94AEE"/>
    <w:multiLevelType w:val="hybridMultilevel"/>
    <w:tmpl w:val="800CC1DC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04F1B"/>
    <w:multiLevelType w:val="hybridMultilevel"/>
    <w:tmpl w:val="07D24316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A7CAB"/>
    <w:multiLevelType w:val="hybridMultilevel"/>
    <w:tmpl w:val="000629B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2A44969"/>
    <w:multiLevelType w:val="hybridMultilevel"/>
    <w:tmpl w:val="75DE584C"/>
    <w:lvl w:ilvl="0" w:tplc="5B4271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734D2A42"/>
    <w:multiLevelType w:val="hybridMultilevel"/>
    <w:tmpl w:val="E3688866"/>
    <w:lvl w:ilvl="0" w:tplc="592EB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LTStd-Roman" w:hAnsi="PalatinoLTStd-Roman" w:cs="PalatinoLTStd-Roman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A47054"/>
    <w:multiLevelType w:val="hybridMultilevel"/>
    <w:tmpl w:val="B298F60E"/>
    <w:lvl w:ilvl="0" w:tplc="1A7C7D42">
      <w:start w:val="3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7D561BF4"/>
    <w:multiLevelType w:val="multilevel"/>
    <w:tmpl w:val="280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4"/>
  </w:num>
  <w:num w:numId="5">
    <w:abstractNumId w:val="1"/>
  </w:num>
  <w:num w:numId="6">
    <w:abstractNumId w:val="22"/>
  </w:num>
  <w:num w:numId="7">
    <w:abstractNumId w:val="19"/>
  </w:num>
  <w:num w:numId="8">
    <w:abstractNumId w:val="5"/>
  </w:num>
  <w:num w:numId="9">
    <w:abstractNumId w:val="0"/>
  </w:num>
  <w:num w:numId="10">
    <w:abstractNumId w:val="16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17"/>
  </w:num>
  <w:num w:numId="16">
    <w:abstractNumId w:val="15"/>
  </w:num>
  <w:num w:numId="17">
    <w:abstractNumId w:val="7"/>
  </w:num>
  <w:num w:numId="18">
    <w:abstractNumId w:val="20"/>
  </w:num>
  <w:num w:numId="19">
    <w:abstractNumId w:val="9"/>
  </w:num>
  <w:num w:numId="20">
    <w:abstractNumId w:val="13"/>
  </w:num>
  <w:num w:numId="21">
    <w:abstractNumId w:val="2"/>
  </w:num>
  <w:num w:numId="22">
    <w:abstractNumId w:val="10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>
      <o:colormru v:ext="edit" colors="#93a545"/>
      <o:colormenu v:ext="edit" strokecolor="#93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2z0f02z1zsra9ev5sbxpasee5xx0zxvxdrx&quot;&gt;publicationsX4&lt;record-ids&gt;&lt;item&gt;4946&lt;/item&gt;&lt;item&gt;5210&lt;/item&gt;&lt;item&gt;5240&lt;/item&gt;&lt;/record-ids&gt;&lt;/item&gt;&lt;/Libraries&gt;"/>
  </w:docVars>
  <w:rsids>
    <w:rsidRoot w:val="00D12DB9"/>
    <w:rsid w:val="00016E5D"/>
    <w:rsid w:val="000311C0"/>
    <w:rsid w:val="00040646"/>
    <w:rsid w:val="00064E13"/>
    <w:rsid w:val="000C4474"/>
    <w:rsid w:val="000E56EF"/>
    <w:rsid w:val="00185ED2"/>
    <w:rsid w:val="001C61E5"/>
    <w:rsid w:val="00234128"/>
    <w:rsid w:val="00373D98"/>
    <w:rsid w:val="003F3E33"/>
    <w:rsid w:val="00411E4B"/>
    <w:rsid w:val="00482092"/>
    <w:rsid w:val="004B1104"/>
    <w:rsid w:val="004C408C"/>
    <w:rsid w:val="004D24C0"/>
    <w:rsid w:val="00587CE1"/>
    <w:rsid w:val="005D46A2"/>
    <w:rsid w:val="00612128"/>
    <w:rsid w:val="00621B77"/>
    <w:rsid w:val="006A0464"/>
    <w:rsid w:val="006D4AFE"/>
    <w:rsid w:val="00797565"/>
    <w:rsid w:val="007C4D46"/>
    <w:rsid w:val="00875289"/>
    <w:rsid w:val="008E34D4"/>
    <w:rsid w:val="00977C77"/>
    <w:rsid w:val="009B1AB1"/>
    <w:rsid w:val="009E7719"/>
    <w:rsid w:val="00A969AA"/>
    <w:rsid w:val="00BB69F3"/>
    <w:rsid w:val="00C0281B"/>
    <w:rsid w:val="00C90AFF"/>
    <w:rsid w:val="00C91EAA"/>
    <w:rsid w:val="00C93F9C"/>
    <w:rsid w:val="00D12DB9"/>
    <w:rsid w:val="00D15CBC"/>
    <w:rsid w:val="00DC38AA"/>
    <w:rsid w:val="00E73C6E"/>
    <w:rsid w:val="00E81E12"/>
    <w:rsid w:val="00E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93a545"/>
      <o:colormenu v:ext="edit" strokecolor="#93a545"/>
    </o:shapedefaults>
    <o:shapelayout v:ext="edit">
      <o:idmap v:ext="edit" data="1"/>
    </o:shapelayout>
  </w:shapeDefaults>
  <w:decimalSymbol w:val="."/>
  <w:listSeparator w:val=","/>
  <w14:docId w14:val="1DE0366F"/>
  <w15:docId w15:val="{63A39F82-CC62-40D8-8AF8-78F4DC4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E13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E13"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064E13"/>
    <w:pPr>
      <w:keepNext/>
      <w:pBdr>
        <w:top w:val="single" w:sz="4" w:space="0" w:color="auto"/>
      </w:pBdr>
      <w:spacing w:before="120"/>
      <w:outlineLvl w:val="1"/>
    </w:pPr>
    <w:rPr>
      <w:rFonts w:ascii="Arial" w:hAnsi="Arial" w:cs="Arial"/>
      <w:b/>
      <w:color w:val="800000"/>
      <w:sz w:val="20"/>
      <w:szCs w:val="20"/>
    </w:rPr>
  </w:style>
  <w:style w:type="paragraph" w:styleId="Heading3">
    <w:name w:val="heading 3"/>
    <w:basedOn w:val="Normal"/>
    <w:next w:val="Normal"/>
    <w:qFormat/>
    <w:rsid w:val="00064E13"/>
    <w:pPr>
      <w:keepNext/>
      <w:spacing w:before="120"/>
      <w:jc w:val="both"/>
      <w:outlineLvl w:val="2"/>
    </w:pPr>
    <w:rPr>
      <w:rFonts w:ascii="Arial" w:hAnsi="Arial" w:cs="Arial"/>
      <w:b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basedOn w:val="Normal"/>
    <w:rsid w:val="00064E13"/>
    <w:pPr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cs="Palatino"/>
      <w:color w:val="000000"/>
      <w:sz w:val="16"/>
      <w:szCs w:val="16"/>
    </w:rPr>
  </w:style>
  <w:style w:type="paragraph" w:customStyle="1" w:styleId="SectionTitle">
    <w:name w:val="Section Title"/>
    <w:basedOn w:val="Normal"/>
    <w:rsid w:val="00064E13"/>
    <w:pPr>
      <w:suppressAutoHyphens/>
      <w:autoSpaceDE w:val="0"/>
      <w:autoSpaceDN w:val="0"/>
      <w:adjustRightInd w:val="0"/>
      <w:spacing w:before="480" w:after="120" w:line="240" w:lineRule="atLeast"/>
      <w:textAlignment w:val="center"/>
    </w:pPr>
    <w:rPr>
      <w:rFonts w:ascii="Arial" w:hAnsi="Arial" w:cs="Arial"/>
      <w:b/>
      <w:bCs/>
      <w:color w:val="93A445"/>
      <w:szCs w:val="22"/>
    </w:rPr>
  </w:style>
  <w:style w:type="paragraph" w:customStyle="1" w:styleId="SectionSubtitle">
    <w:name w:val="Section Subtitle"/>
    <w:basedOn w:val="Normal"/>
    <w:rsid w:val="00064E13"/>
    <w:pPr>
      <w:suppressAutoHyphens/>
      <w:autoSpaceDE w:val="0"/>
      <w:autoSpaceDN w:val="0"/>
      <w:adjustRightInd w:val="0"/>
      <w:spacing w:before="240" w:after="180" w:line="240" w:lineRule="atLeast"/>
      <w:textAlignment w:val="center"/>
    </w:pPr>
    <w:rPr>
      <w:rFonts w:ascii="Arial" w:hAnsi="Arial" w:cs="Arial"/>
      <w:color w:val="93A445"/>
      <w:sz w:val="18"/>
      <w:szCs w:val="18"/>
    </w:rPr>
  </w:style>
  <w:style w:type="paragraph" w:customStyle="1" w:styleId="ChartParagraph">
    <w:name w:val="Chart Paragraph"/>
    <w:basedOn w:val="ParagraphStyle"/>
    <w:rsid w:val="00064E13"/>
    <w:pPr>
      <w:tabs>
        <w:tab w:val="left" w:pos="3060"/>
      </w:tabs>
      <w:ind w:left="1440" w:hanging="1440"/>
    </w:pPr>
    <w:rPr>
      <w:rFonts w:cs="Times New Roman"/>
      <w:szCs w:val="20"/>
    </w:rPr>
  </w:style>
  <w:style w:type="paragraph" w:customStyle="1" w:styleId="ChartDescription">
    <w:name w:val="Chart Description"/>
    <w:basedOn w:val="ParagraphStyle"/>
    <w:rsid w:val="00064E13"/>
    <w:pPr>
      <w:spacing w:before="120" w:after="120"/>
      <w:ind w:left="360" w:right="331"/>
    </w:pPr>
    <w:rPr>
      <w:i/>
    </w:rPr>
  </w:style>
  <w:style w:type="paragraph" w:styleId="BlockText">
    <w:name w:val="Block Text"/>
    <w:basedOn w:val="Normal"/>
    <w:rsid w:val="00064E13"/>
    <w:pPr>
      <w:spacing w:after="120"/>
      <w:ind w:left="1440" w:right="1440"/>
    </w:pPr>
  </w:style>
  <w:style w:type="paragraph" w:styleId="Header">
    <w:name w:val="header"/>
    <w:basedOn w:val="Normal"/>
    <w:rsid w:val="00064E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E13"/>
    <w:pPr>
      <w:tabs>
        <w:tab w:val="center" w:pos="4320"/>
        <w:tab w:val="right" w:pos="8640"/>
      </w:tabs>
    </w:pPr>
  </w:style>
  <w:style w:type="character" w:customStyle="1" w:styleId="blacksml">
    <w:name w:val="blacksml"/>
    <w:basedOn w:val="DefaultParagraphFont"/>
    <w:rsid w:val="00064E13"/>
  </w:style>
  <w:style w:type="character" w:customStyle="1" w:styleId="author">
    <w:name w:val="author"/>
    <w:basedOn w:val="DefaultParagraphFont"/>
    <w:rsid w:val="00064E13"/>
  </w:style>
  <w:style w:type="character" w:customStyle="1" w:styleId="product1">
    <w:name w:val="product1"/>
    <w:basedOn w:val="DefaultParagraphFont"/>
    <w:rsid w:val="00064E13"/>
    <w:rPr>
      <w:rFonts w:ascii="Verdana" w:hAnsi="Verdana" w:hint="default"/>
      <w:b/>
      <w:bCs/>
      <w:color w:val="000099"/>
      <w:sz w:val="21"/>
      <w:szCs w:val="21"/>
    </w:rPr>
  </w:style>
  <w:style w:type="character" w:styleId="Strong">
    <w:name w:val="Strong"/>
    <w:basedOn w:val="DefaultParagraphFont"/>
    <w:qFormat/>
    <w:rsid w:val="00064E13"/>
    <w:rPr>
      <w:b/>
      <w:bCs/>
    </w:rPr>
  </w:style>
  <w:style w:type="character" w:styleId="Hyperlink">
    <w:name w:val="Hyperlink"/>
    <w:basedOn w:val="DefaultParagraphFont"/>
    <w:rsid w:val="00064E13"/>
    <w:rPr>
      <w:color w:val="0000FF"/>
      <w:u w:val="single"/>
    </w:rPr>
  </w:style>
  <w:style w:type="character" w:customStyle="1" w:styleId="journalname">
    <w:name w:val="journalname"/>
    <w:basedOn w:val="DefaultParagraphFont"/>
    <w:rsid w:val="00064E13"/>
  </w:style>
  <w:style w:type="character" w:customStyle="1" w:styleId="ref-journal">
    <w:name w:val="ref-journal"/>
    <w:basedOn w:val="DefaultParagraphFont"/>
    <w:rsid w:val="00064E13"/>
  </w:style>
  <w:style w:type="character" w:customStyle="1" w:styleId="ref-vol1">
    <w:name w:val="ref-vol1"/>
    <w:basedOn w:val="DefaultParagraphFont"/>
    <w:rsid w:val="00064E13"/>
    <w:rPr>
      <w:b/>
      <w:bCs/>
    </w:rPr>
  </w:style>
  <w:style w:type="paragraph" w:styleId="BalloonText">
    <w:name w:val="Balloon Text"/>
    <w:basedOn w:val="Normal"/>
    <w:semiHidden/>
    <w:rsid w:val="00064E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E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2">
    <w:name w:val="ti2"/>
    <w:basedOn w:val="DefaultParagraphFont"/>
    <w:rsid w:val="00064E13"/>
    <w:rPr>
      <w:sz w:val="22"/>
      <w:szCs w:val="22"/>
    </w:rPr>
  </w:style>
  <w:style w:type="character" w:styleId="Emphasis">
    <w:name w:val="Emphasis"/>
    <w:basedOn w:val="DefaultParagraphFont"/>
    <w:qFormat/>
    <w:rsid w:val="004D24C0"/>
    <w:rPr>
      <w:i/>
      <w:iCs/>
    </w:rPr>
  </w:style>
  <w:style w:type="paragraph" w:styleId="ListParagraph">
    <w:name w:val="List Paragraph"/>
    <w:basedOn w:val="Normal"/>
    <w:uiPriority w:val="34"/>
    <w:qFormat/>
    <w:rsid w:val="00C9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6BD562916C149878F3340647CE41E" ma:contentTypeVersion="0" ma:contentTypeDescription="Create a new document." ma:contentTypeScope="" ma:versionID="178536c568cd3dcf9be8ee81d19c2a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6FFF5-ADB1-4454-A6F2-DBF01CF019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3CA27D-E992-4133-A6D5-70E66AC69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F3CEF6C-5CC6-4C8F-A775-FE47C46C8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Smt3 Antibody</vt:lpstr>
    </vt:vector>
  </TitlesOfParts>
  <Company>Jot Infomedia</Company>
  <LinksUpToDate>false</LinksUpToDate>
  <CharactersWithSpaces>1794</CharactersWithSpaces>
  <SharedDoc>false</SharedDoc>
  <HLinks>
    <vt:vector size="6" baseType="variant">
      <vt:variant>
        <vt:i4>4259871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http://www.ncbi.nlm.nih.gov/pubmed/19798103?itool=EntrezSystem2.PEntrez.Pubmed.Pubmed_ResultsPanel.Pubmed_RVDocSum&amp;ordinalpos=2%22%20%5C%5Ct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Smt3 Antibody</dc:title>
  <dc:subject/>
  <dc:creator>strickler</dc:creator>
  <cp:keywords/>
  <dc:description/>
  <cp:lastModifiedBy>Rebekah Varghese (Lifesensors)</cp:lastModifiedBy>
  <cp:revision>12</cp:revision>
  <cp:lastPrinted>2009-02-11T19:16:00Z</cp:lastPrinted>
  <dcterms:created xsi:type="dcterms:W3CDTF">2021-06-02T12:33:00Z</dcterms:created>
  <dcterms:modified xsi:type="dcterms:W3CDTF">2021-06-23T20:11:00Z</dcterms:modified>
</cp:coreProperties>
</file>